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335</w:t>
      </w:r>
    </w:p>
    <w:p>
      <w:r>
        <w:t>Bundesgericht (BGE), 1990-10-24, DE</w:t>
      </w:r>
    </w:p>
    <w:p>
      <w:r>
        <w:rPr>
          <w:b/>
        </w:rPr>
        <w:t xml:space="preserve">Quelle: </w:t>
      </w:r>
      <w:r>
        <w:t>https://mcp.opencaselaw.ch/entscheid/bge_116 V 335</w:t>
      </w:r>
    </w:p>
    <w:p>
      <w:r>
        <w:t>FR: ATF 116 V 335</w:t>
      </w:r>
    </w:p>
    <w:p>
      <w:r>
        <w:t>IT: DTF 116 V 335</w:t>
      </w:r>
    </w:p>
    <w:p>
      <w:pPr>
        <w:pStyle w:val="Heading2"/>
      </w:pPr>
      <w:r>
        <w:t>Regeste</w:t>
      </w:r>
    </w:p>
    <w:p>
      <w:r>
        <w:t>Regeste Art. 73 BVG: Rechtspflege. - Zuständigkeit der Rechtspflegeorgane nach Art. 73 BVG bejaht im Falle einer Streitigkeit, welche Leistungen einer öffentlich-rechtlichen Pensionskasse bei unverschuldeter Nichtwiederwahl eines Beamten zum Gegenstand hat (Erw. 2). - Probleme des Nebeneinanders von vorsorgerechtlichem Rechtsweg nach Art. 73 BVG und innerkantonalem dienstrechtlichem Rechtsweg bezüglich der Beurteilung des vorsorgerechtlich relevanten Verschuldens an der Nichtwiederwahl (Erw. 3). - Keine Heilung des Verfahrensmangels, wenn das vorinstanzliche Verfahren nicht gegen die selbständige öffentlich-rechtliche Pensionskasse, sondern gegen den kantonalen Regierungsrat durchgeführt worden ist (Erw. 4).</w:t>
      </w:r>
    </w:p>
    <w:p>
      <w:pPr>
        <w:pStyle w:val="Heading2"/>
      </w:pPr>
      <w:r>
        <w:t>Erwägungen</w:t>
      </w:r>
    </w:p>
    <w:p>
      <w:r>
        <w:rPr>
          <w:b/>
        </w:rPr>
        <w:t>E. 1</w:t>
      </w:r>
    </w:p>
    <w:p>
      <w:r>
        <w:t>Ein Mitglied, das freiwillig aus dem Dienste und zugleich aus der Kasse ausscheidet, hat Anspruch auf die von ihm geleisteten Zahlungen. Vor dem 20. Altersjahr geleistete Risikoprämien (§ 23) werden jedoch nicht zurückerstattet.</w:t>
      </w:r>
    </w:p>
    <w:p>
      <w:r>
        <w:rPr>
          <w:b/>
        </w:rPr>
        <w:t>E. 2</w:t>
      </w:r>
    </w:p>
    <w:p>
      <w:r>
        <w:t>Der Arbeitgeber entscheidet, ob die Nichtwiederwahl oder Entlassung unverschuldet erfolgt ist.</w:t>
      </w:r>
    </w:p>
    <w:p>
      <w:r>
        <w:rPr>
          <w:b/>
        </w:rPr>
        <w:t>E. 4</w:t>
      </w:r>
    </w:p>
    <w:p>
      <w:r>
        <w:t>Wenngleich die Vorinstanz die Streitsache des Beschwerdeführers unter dem Gesichtspunkt der sachlichen und unbestrittenermassen auch der zeitlichen Zuständigkeit zu Recht als Richter nach Art. 73 BVG an die Hand genommen hat, ist damit die Frage nach den sonstigen formellen Anforderungen an Gültigkeit und Ordnungsmässigkeit des vorinstanzlichen Verfahrens noch nicht abschliessend beantwortet. BGE 116 V 335 S. 343 a) Nach der Regelung des BVG können auch die öffentlichrechtlichen Vorsorgeeinrichtungen keine Verfügungen im Rechtssinne erlassen, sondern nur Stellungnahmen abgeben ( BGE 115 V 228 Erw. 2). Sieht man von der vorsorgerechtlich relevanten Verlautbarung des Regierungsrates im Entscheid vom 20. September 1988 ab, so lag bis zum Zeitpunkt der Einleitung des Verfahrens bei der Vorinstanz am 11. Oktober 1988 keine Stellungnahme der schaffhausischen Pensionskasse vor. Vielmehr hat sich die Vorsorgeeinrichtung erstmals mit Schreiben vom 5. April 1989 an X zu dessen Leistungsansprüchen geäussert, und zwar - im Hinblick auf das bei der Vorinstanz laufende Verfahren - nur provisorisch. b) Der Beschwerdeführer verlangte bei der Vorinstanz nicht einfach die Feststellung der unverschuldeten Nichtwiederwahl, sondern er machte gleichzeitig auch einen Rentenanspruch nach § 16 Abs. 4 in Verbindung mit § 33 PKD geltend. Primär ging es dem Beschwerdeführer dabei um Rentenleistungen, deren Durchsetzung eben von der Beseitigung der Feststellung abhängt, die Nichtwiederwahl gelte als selbstverschuldet. Dieser Rentenanspruch kann sich aber allein gegen die Pensionskasse richten (§§ 30 ff. PKD). Die Pensionskasse ist sodann eine selbständige "öffentlichrechtliche Anstalt mit eigener Rechtspersönlichkeit" (§ 1 Abs. 2 PKD). Sie ist demzufolge - im Gegensatz zu der im Urteil BGE 116 V 198 beteiligten unselbständigen öffentlich-rechtlichen Anstalt - selber partei- und prozessfähig. Bei dieser Rechtslage hätte die Vorinstanz zunächst die Frage der Passivlegitimation klären müssen, nachdem der Beschwerdeführer in seiner Eingabe vom 11. Oktober 1988 sowie in der dazugehörigen Ergänzung vom 24. Januar 1989 den Regierungsrat und nicht die Pensionskasse als Gegenpartei angeschrieben hatte. Da dies nicht geschehen ist, fragt sich nach den Rechtsfolgen dieses Verfahrensmangels. Der Umstand, dass ein kantonales Gericht gemäss Art. 73 BVG den Prozess formell im Beschwerde- anstatt richtigerweise im Klageverfahren durchgeführt hat, stellt - für sich allein betrachtet - keinen Grund dafür dar, den vorinstanzlichen Entscheid von Amtes wegen aufzuheben (vgl. in diesem Zusammenhang BGE 115 V 243 , dem in diesem Punkt ein wesentlich anderer Sachverhalt zugrunde lag). Dagegen bildet die Tatsache, dass im vorinstanzlichen Verfahren der Regierungsrat und nicht die kantonale Pensionskasse als Gegenpartei ins Recht gefasst und der vorinstanzliche Entscheid nicht gegen die Kasse gefällt wurde, einen schwerwiegenden prozessualen Mangel, der im letztinstanzlichen BGE 116 V 335 S. 344 Verfahren nicht geheilt werden kann. Denn es geht hier nicht bloss um die formelle Berichtigung einer Parteibezeichnung in einem Verfahren, in welchem die Identität der Partei von Anfang an eindeutig feststand, deren Benennung aber falsch war (vgl. BGE 110 V 349 Erw. 2). Entscheidend ist vielmehr, dass das Verfahren gar nicht mit jener Partei geführt worden ist, gegen welche der Beschwerdeführer überhaupt erst finanzielle Ansprüche geltend machen kann. Mangels passivlegitimierter Hauptpartei lässt sich der begangene Verfahrensfehler auch nicht bloss durch Beiladung der Pensionskasse im letztinstanzlichen Verfahren beheben. Bei dieser prozessualen Lage kann die materielle Seite des Streitfalles nicht geprüft werden und muss der vorinstanzliche Entscheid insoweit aufgehoben werden, als er die vorsorgerechtliche Frage des Verschuldens an der Nichtwiederwahl zum Gegenstand hat. Dabei ist eine Rückweisung der Sache an die Vorinstanz, damit diese die bei ihr eingereichten Eingaben als Klage gegen die Pensionskasse behandle, nicht möglich, weil dies auf die Anordnung eines Parteiwechsels hinausliefe. Die Frage eines Parteiwechsels kann sich hier aber gar nicht stellen, weil - wie erwähnt - das Verfahren von Anfang an gegen die falsche Partei durchgeführt worden ist. Unter diesen Umständen kann nur ein neues (Klage-)Verfahren im Kanton in Betracht kommen, wobei in diesem Falle der Regierungsrat auf dem Wege der Beiladung oder der Einforderung eines Amtsberichtes ins Verfahren einbezogen werden kann.</w:t>
      </w:r>
    </w:p>
    <w:p>
      <w:r>
        <w:rPr>
          <w:b/>
        </w:rPr>
        <w:t>E. 5</w:t>
      </w:r>
    </w:p>
    <w:p>
      <w:r>
        <w:t>(Kostenpunkt) Dispositiv Demnach erkennt das Eidg. Versicherungsgericht: Die Verwaltungsgerichtsbeschwerde wird in dem Sinne gutgeheissen, dass der Entscheid des Obergerichts des Kantons Schaffhausen vom 7. Juli 1989 aufgehoben wird, insofern er die vorsorgerechtliche Frage des Verschuldens an der Nichtwiederwahl zum Gegenstand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